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BA00">
      <w:pPr>
        <w:jc w:val="center"/>
        <w:rPr>
          <w:rFonts w:hint="eastAsia"/>
          <w:b/>
          <w:bCs/>
          <w:color w:val="FF0000"/>
          <w:sz w:val="32"/>
          <w:szCs w:val="40"/>
        </w:rPr>
      </w:pPr>
      <w:r>
        <w:rPr>
          <w:rFonts w:hint="eastAsia"/>
          <w:b/>
          <w:bCs/>
          <w:color w:val="FF0000"/>
          <w:sz w:val="32"/>
          <w:szCs w:val="40"/>
        </w:rPr>
        <w:t>关于做好生命科学与技术学院202</w:t>
      </w:r>
      <w:r>
        <w:rPr>
          <w:rFonts w:hint="eastAsia"/>
          <w:b/>
          <w:bCs/>
          <w:color w:val="FF0000"/>
          <w:sz w:val="32"/>
          <w:szCs w:val="40"/>
          <w:lang w:val="en-US" w:eastAsia="zh-CN"/>
        </w:rPr>
        <w:t>4</w:t>
      </w:r>
      <w:r>
        <w:rPr>
          <w:rFonts w:hint="eastAsia"/>
          <w:b/>
          <w:bCs/>
          <w:color w:val="FF0000"/>
          <w:sz w:val="32"/>
          <w:szCs w:val="40"/>
        </w:rPr>
        <w:t>-202</w:t>
      </w:r>
      <w:r>
        <w:rPr>
          <w:rFonts w:hint="eastAsia"/>
          <w:b/>
          <w:bCs/>
          <w:color w:val="FF0000"/>
          <w:sz w:val="32"/>
          <w:szCs w:val="40"/>
          <w:lang w:val="en-US" w:eastAsia="zh-CN"/>
        </w:rPr>
        <w:t>5</w:t>
      </w:r>
      <w:r>
        <w:rPr>
          <w:rFonts w:hint="eastAsia"/>
          <w:b/>
          <w:bCs/>
          <w:color w:val="FF0000"/>
          <w:sz w:val="32"/>
          <w:szCs w:val="40"/>
        </w:rPr>
        <w:t>学年秋季学期教育基金会奖助学金评选的通知</w:t>
      </w:r>
    </w:p>
    <w:p w14:paraId="77318F92">
      <w:pPr>
        <w:rPr>
          <w:rFonts w:hint="eastAsia"/>
          <w:sz w:val="28"/>
          <w:szCs w:val="36"/>
        </w:rPr>
      </w:pPr>
    </w:p>
    <w:p w14:paraId="13483228">
      <w:pPr>
        <w:rPr>
          <w:rFonts w:hint="eastAsia"/>
          <w:sz w:val="28"/>
          <w:szCs w:val="36"/>
        </w:rPr>
      </w:pPr>
      <w:r>
        <w:rPr>
          <w:rFonts w:hint="eastAsia"/>
          <w:sz w:val="28"/>
          <w:szCs w:val="36"/>
        </w:rPr>
        <w:t>各研究生班级：</w:t>
      </w:r>
    </w:p>
    <w:p w14:paraId="18C6F42E">
      <w:pPr>
        <w:rPr>
          <w:rFonts w:hint="eastAsia"/>
          <w:sz w:val="28"/>
          <w:szCs w:val="36"/>
          <w:lang w:eastAsia="zh-CN"/>
        </w:rPr>
      </w:pPr>
      <w:r>
        <w:rPr>
          <w:rFonts w:hint="eastAsia"/>
          <w:sz w:val="28"/>
          <w:szCs w:val="36"/>
        </w:rPr>
        <w:t>202</w:t>
      </w:r>
      <w:r>
        <w:rPr>
          <w:rFonts w:hint="eastAsia"/>
          <w:sz w:val="28"/>
          <w:szCs w:val="36"/>
          <w:lang w:val="en-US" w:eastAsia="zh-CN"/>
        </w:rPr>
        <w:t>4</w:t>
      </w:r>
      <w:r>
        <w:rPr>
          <w:rFonts w:hint="eastAsia"/>
          <w:sz w:val="28"/>
          <w:szCs w:val="36"/>
        </w:rPr>
        <w:t>-202</w:t>
      </w:r>
      <w:r>
        <w:rPr>
          <w:rFonts w:hint="eastAsia"/>
          <w:sz w:val="28"/>
          <w:szCs w:val="36"/>
          <w:lang w:val="en-US" w:eastAsia="zh-CN"/>
        </w:rPr>
        <w:t>5</w:t>
      </w:r>
      <w:r>
        <w:rPr>
          <w:rFonts w:hint="eastAsia"/>
          <w:sz w:val="28"/>
          <w:szCs w:val="36"/>
        </w:rPr>
        <w:t>学年</w:t>
      </w:r>
      <w:r>
        <w:rPr>
          <w:rFonts w:hint="eastAsia"/>
          <w:sz w:val="28"/>
          <w:szCs w:val="36"/>
          <w:lang w:val="en-US" w:eastAsia="zh-CN"/>
        </w:rPr>
        <w:t>秋</w:t>
      </w:r>
      <w:r>
        <w:rPr>
          <w:rFonts w:hint="eastAsia"/>
          <w:sz w:val="28"/>
          <w:szCs w:val="36"/>
        </w:rPr>
        <w:t>季学期教育基金会奖助学金评选工作已正式启动，根据学校通知精神和《东南大学生命科学与技术学院奖学金评审办法》文件精神，现将有关事项通知如下，请认真执行</w:t>
      </w:r>
      <w:r>
        <w:rPr>
          <w:rFonts w:hint="eastAsia"/>
          <w:sz w:val="28"/>
          <w:szCs w:val="36"/>
          <w:lang w:eastAsia="zh-CN"/>
        </w:rPr>
        <w:t>。</w:t>
      </w:r>
    </w:p>
    <w:p w14:paraId="79DA82CE">
      <w:pPr>
        <w:rPr>
          <w:rFonts w:hint="eastAsia"/>
          <w:sz w:val="28"/>
          <w:szCs w:val="36"/>
          <w:lang w:eastAsia="zh-CN"/>
        </w:rPr>
      </w:pPr>
    </w:p>
    <w:p w14:paraId="389AEA7B">
      <w:pPr>
        <w:rPr>
          <w:rFonts w:hint="eastAsia"/>
          <w:sz w:val="28"/>
          <w:szCs w:val="36"/>
        </w:rPr>
      </w:pPr>
      <w:r>
        <w:rPr>
          <w:rFonts w:hint="eastAsia"/>
          <w:sz w:val="28"/>
          <w:szCs w:val="36"/>
        </w:rPr>
        <w:t>一、申报条件</w:t>
      </w:r>
      <w:r>
        <w:rPr>
          <w:rFonts w:hint="eastAsia"/>
          <w:sz w:val="28"/>
          <w:szCs w:val="36"/>
          <w:lang w:val="en-US" w:eastAsia="zh-CN"/>
        </w:rPr>
        <w:t>基本条件</w:t>
      </w:r>
      <w:r>
        <w:rPr>
          <w:rFonts w:hint="eastAsia"/>
          <w:sz w:val="28"/>
          <w:szCs w:val="36"/>
          <w:lang w:eastAsia="zh-CN"/>
        </w:rPr>
        <w:t>（根据《东南大学生命科学与技术学院研究生教育基金会奖学金评定实施细则》）</w:t>
      </w:r>
      <w:r>
        <w:rPr>
          <w:rFonts w:hint="eastAsia"/>
          <w:sz w:val="28"/>
          <w:szCs w:val="36"/>
        </w:rPr>
        <w:t>：</w:t>
      </w:r>
    </w:p>
    <w:p w14:paraId="0C8503B0">
      <w:pPr>
        <w:rPr>
          <w:rFonts w:hint="eastAsia"/>
          <w:sz w:val="28"/>
          <w:szCs w:val="36"/>
        </w:rPr>
      </w:pPr>
      <w:r>
        <w:rPr>
          <w:rFonts w:hint="eastAsia"/>
          <w:sz w:val="28"/>
          <w:szCs w:val="36"/>
        </w:rPr>
        <w:t>我院在籍全日制研究生，符合以下条件中可以申报：</w:t>
      </w:r>
    </w:p>
    <w:p w14:paraId="0627266D">
      <w:pPr>
        <w:rPr>
          <w:rFonts w:hint="eastAsia"/>
          <w:sz w:val="28"/>
          <w:szCs w:val="36"/>
        </w:rPr>
      </w:pPr>
      <w:r>
        <w:rPr>
          <w:rFonts w:hint="eastAsia"/>
          <w:sz w:val="28"/>
          <w:szCs w:val="36"/>
        </w:rPr>
        <w:t>1、热爱祖国，遵纪守法，有爱心和责任心；</w:t>
      </w:r>
    </w:p>
    <w:p w14:paraId="341B8488">
      <w:pPr>
        <w:rPr>
          <w:rFonts w:hint="eastAsia"/>
          <w:sz w:val="28"/>
          <w:szCs w:val="36"/>
        </w:rPr>
      </w:pPr>
      <w:r>
        <w:rPr>
          <w:rFonts w:hint="eastAsia"/>
          <w:sz w:val="28"/>
          <w:szCs w:val="36"/>
        </w:rPr>
        <w:t>2、学习认真，成绩优良；在校期间未受过通报批评或其他处分；</w:t>
      </w:r>
    </w:p>
    <w:p w14:paraId="003A8C2B">
      <w:pPr>
        <w:rPr>
          <w:rFonts w:hint="eastAsia"/>
          <w:sz w:val="28"/>
          <w:szCs w:val="36"/>
        </w:rPr>
      </w:pPr>
      <w:r>
        <w:rPr>
          <w:rFonts w:hint="eastAsia"/>
          <w:sz w:val="28"/>
          <w:szCs w:val="36"/>
        </w:rPr>
        <w:t>3、综合素质高，热心公益事业，有较强社会活动能力；关心集体、团结同学、热心公益活动，有较强的社会责任感；</w:t>
      </w:r>
    </w:p>
    <w:p w14:paraId="26C9BE27">
      <w:pPr>
        <w:rPr>
          <w:rFonts w:hint="eastAsia"/>
          <w:sz w:val="28"/>
          <w:szCs w:val="36"/>
        </w:rPr>
      </w:pPr>
      <w:r>
        <w:rPr>
          <w:rFonts w:hint="eastAsia"/>
          <w:sz w:val="28"/>
          <w:szCs w:val="36"/>
        </w:rPr>
        <w:t>4、符合相应奖学金项目对于专业等指定的特殊要求；</w:t>
      </w:r>
    </w:p>
    <w:p w14:paraId="1B9CDA2B">
      <w:pPr>
        <w:rPr>
          <w:rFonts w:hint="eastAsia"/>
          <w:sz w:val="28"/>
          <w:szCs w:val="36"/>
        </w:rPr>
      </w:pPr>
      <w:r>
        <w:rPr>
          <w:rFonts w:hint="eastAsia"/>
          <w:sz w:val="28"/>
          <w:szCs w:val="36"/>
        </w:rPr>
        <w:t>5、在德、智、体等方面取得突出成绩，做出突出贡献的优先考虑；</w:t>
      </w:r>
    </w:p>
    <w:p w14:paraId="665D3DA1">
      <w:pPr>
        <w:rPr>
          <w:rFonts w:hint="eastAsia"/>
          <w:sz w:val="28"/>
          <w:szCs w:val="36"/>
          <w:lang w:eastAsia="zh-CN"/>
        </w:rPr>
      </w:pPr>
      <w:r>
        <w:rPr>
          <w:rFonts w:hint="eastAsia"/>
          <w:sz w:val="28"/>
          <w:szCs w:val="36"/>
        </w:rPr>
        <w:t>6、同一培养阶段，学生至多可获得两次金额大于等于5000元奖学金；相邻的两个学期，学生至多获得一次金额大于等于5000元的奖学金</w:t>
      </w:r>
      <w:r>
        <w:rPr>
          <w:rFonts w:hint="eastAsia"/>
          <w:sz w:val="28"/>
          <w:szCs w:val="36"/>
          <w:lang w:eastAsia="zh-CN"/>
        </w:rPr>
        <w:t>。</w:t>
      </w:r>
    </w:p>
    <w:p w14:paraId="18032748">
      <w:pPr>
        <w:rPr>
          <w:rFonts w:hint="eastAsia"/>
          <w:sz w:val="28"/>
          <w:szCs w:val="36"/>
          <w:lang w:eastAsia="zh-CN"/>
        </w:rPr>
      </w:pPr>
    </w:p>
    <w:p w14:paraId="3C1E4ABA">
      <w:pPr>
        <w:rPr>
          <w:rFonts w:hint="eastAsia"/>
          <w:sz w:val="28"/>
          <w:szCs w:val="36"/>
          <w:lang w:val="en-US" w:eastAsia="zh-CN"/>
        </w:rPr>
      </w:pPr>
      <w:r>
        <w:rPr>
          <w:rFonts w:hint="eastAsia"/>
          <w:sz w:val="28"/>
          <w:szCs w:val="36"/>
          <w:lang w:val="en-US" w:eastAsia="zh-CN"/>
        </w:rPr>
        <w:t>二、评选程序：</w:t>
      </w:r>
    </w:p>
    <w:p w14:paraId="119DD1C7">
      <w:pPr>
        <w:rPr>
          <w:rFonts w:hint="eastAsia"/>
          <w:sz w:val="28"/>
          <w:szCs w:val="36"/>
          <w:lang w:val="en-US" w:eastAsia="zh-CN"/>
        </w:rPr>
      </w:pPr>
      <w:r>
        <w:rPr>
          <w:rFonts w:hint="eastAsia"/>
          <w:sz w:val="28"/>
          <w:szCs w:val="36"/>
          <w:lang w:val="en-US" w:eastAsia="zh-CN"/>
        </w:rPr>
        <w:t>1、11月13日17：00前学生本人申请，上报材料。</w:t>
      </w:r>
    </w:p>
    <w:p w14:paraId="4257E29C">
      <w:pPr>
        <w:rPr>
          <w:rFonts w:hint="default"/>
          <w:sz w:val="28"/>
          <w:szCs w:val="36"/>
          <w:lang w:val="en-US" w:eastAsia="zh-CN"/>
        </w:rPr>
      </w:pPr>
      <w:r>
        <w:rPr>
          <w:rFonts w:hint="eastAsia"/>
          <w:sz w:val="28"/>
          <w:szCs w:val="36"/>
          <w:lang w:val="en-US" w:eastAsia="zh-CN"/>
        </w:rPr>
        <w:t>班长收齐由学生本人按要求提交《附件2：东南大学教育基金会奖学金申请表》</w:t>
      </w:r>
      <w:bookmarkStart w:id="0" w:name="_GoBack"/>
      <w:bookmarkEnd w:id="0"/>
      <w:r>
        <w:rPr>
          <w:rFonts w:hint="eastAsia"/>
          <w:sz w:val="28"/>
          <w:szCs w:val="36"/>
          <w:lang w:val="en-US" w:eastAsia="zh-CN"/>
        </w:rPr>
        <w:t>《附件5.东南大学生命科学与技术学院奖学金申请表》以及附件5-3、5-4、成绩单、相关成果复印件等证明材料。</w:t>
      </w:r>
    </w:p>
    <w:p w14:paraId="4D91621B">
      <w:pPr>
        <w:rPr>
          <w:rFonts w:hint="eastAsia"/>
          <w:sz w:val="28"/>
          <w:szCs w:val="36"/>
          <w:lang w:val="en-US" w:eastAsia="zh-CN"/>
        </w:rPr>
      </w:pPr>
      <w:r>
        <w:rPr>
          <w:rFonts w:hint="eastAsia"/>
          <w:sz w:val="28"/>
          <w:szCs w:val="36"/>
          <w:lang w:val="en-US" w:eastAsia="zh-CN"/>
        </w:rPr>
        <w:t>2、11月15日17：</w:t>
      </w:r>
      <w:r>
        <w:rPr>
          <w:rFonts w:hint="eastAsia"/>
          <w:sz w:val="28"/>
          <w:szCs w:val="36"/>
          <w:lang w:val="en-US" w:eastAsia="zh-CN"/>
        </w:rPr>
        <w:fldChar w:fldCharType="begin"/>
      </w:r>
      <w:r>
        <w:rPr>
          <w:rFonts w:hint="eastAsia"/>
          <w:sz w:val="28"/>
          <w:szCs w:val="36"/>
          <w:lang w:val="en-US" w:eastAsia="zh-CN"/>
        </w:rPr>
        <w:instrText xml:space="preserve"> HYPERLINK "mailto:00前，以班级为单位将经班级公示无误的汇总版附件2、附件5电子版发送到seuskyxb@163.com(由班长统一发送的视为材料已在班级公示无误，初步审核通过)，并将经班级组织初步审核、签署意见后的纸质材料交至微波楼305，各班级请同时提交《附件1.班级评审报告》纸质版。逾期不再受理，不接收个人申报。" </w:instrText>
      </w:r>
      <w:r>
        <w:rPr>
          <w:rFonts w:hint="eastAsia"/>
          <w:sz w:val="28"/>
          <w:szCs w:val="36"/>
          <w:lang w:val="en-US" w:eastAsia="zh-CN"/>
        </w:rPr>
        <w:fldChar w:fldCharType="separate"/>
      </w:r>
      <w:r>
        <w:rPr>
          <w:rFonts w:hint="eastAsia"/>
          <w:sz w:val="28"/>
          <w:szCs w:val="36"/>
          <w:lang w:val="en-US" w:eastAsia="zh-CN"/>
        </w:rPr>
        <w:t>00前，以班级为单位将经班级公示无误的汇总版附件2、附件5电子版发送到公邮seuskyxb@163.com(由班长统一发送的视为材料已在班级公示无误，初步审核通过)；附件6电子版发送至周青霞同学处。将经班级组织初步审核、签署意见后的纸质材料交至江北C座C313-1吴晓纯老师处，各班级请同时提交《附件1.班级评审报告》纸质版。逾期不再受理，不接收个人申报。</w:t>
      </w:r>
      <w:r>
        <w:rPr>
          <w:rFonts w:hint="eastAsia"/>
          <w:sz w:val="28"/>
          <w:szCs w:val="36"/>
          <w:lang w:val="en-US" w:eastAsia="zh-CN"/>
        </w:rPr>
        <w:fldChar w:fldCharType="end"/>
      </w:r>
    </w:p>
    <w:p w14:paraId="7907A393">
      <w:pPr>
        <w:rPr>
          <w:rFonts w:hint="eastAsia"/>
          <w:sz w:val="28"/>
          <w:szCs w:val="36"/>
          <w:lang w:val="en-US" w:eastAsia="zh-CN"/>
        </w:rPr>
      </w:pPr>
      <w:r>
        <w:rPr>
          <w:rFonts w:hint="eastAsia"/>
          <w:sz w:val="28"/>
          <w:szCs w:val="36"/>
          <w:lang w:val="en-US" w:eastAsia="zh-CN"/>
        </w:rPr>
        <w:t>3、11月16日-11月20日，组织学院评审、答辩（时间地点等待后续通知）、公示、上报研究生院。</w:t>
      </w:r>
    </w:p>
    <w:p w14:paraId="19EE44A0">
      <w:pPr>
        <w:rPr>
          <w:rFonts w:hint="eastAsia"/>
          <w:sz w:val="28"/>
          <w:szCs w:val="36"/>
          <w:lang w:val="en-US" w:eastAsia="zh-CN"/>
        </w:rPr>
      </w:pPr>
    </w:p>
    <w:p w14:paraId="14258520">
      <w:pPr>
        <w:rPr>
          <w:rFonts w:hint="default"/>
          <w:sz w:val="28"/>
          <w:szCs w:val="36"/>
          <w:lang w:val="en-US" w:eastAsia="zh-CN"/>
        </w:rPr>
      </w:pPr>
      <w:r>
        <w:rPr>
          <w:rFonts w:hint="default"/>
          <w:sz w:val="28"/>
          <w:szCs w:val="36"/>
          <w:lang w:val="en-US" w:eastAsia="zh-CN"/>
        </w:rPr>
        <w:t>三、</w:t>
      </w:r>
      <w:r>
        <w:rPr>
          <w:rFonts w:hint="eastAsia"/>
          <w:sz w:val="28"/>
          <w:szCs w:val="36"/>
          <w:lang w:val="en-US" w:eastAsia="zh-CN"/>
        </w:rPr>
        <w:t>注意事项</w:t>
      </w:r>
      <w:r>
        <w:rPr>
          <w:rFonts w:hint="default"/>
          <w:sz w:val="28"/>
          <w:szCs w:val="36"/>
          <w:lang w:val="en-US" w:eastAsia="zh-CN"/>
        </w:rPr>
        <w:t>：</w:t>
      </w:r>
    </w:p>
    <w:p w14:paraId="6F9E703B">
      <w:pPr>
        <w:rPr>
          <w:rFonts w:hint="default"/>
          <w:sz w:val="28"/>
          <w:szCs w:val="36"/>
          <w:lang w:val="en-US" w:eastAsia="zh-CN"/>
        </w:rPr>
      </w:pPr>
      <w:r>
        <w:rPr>
          <w:rFonts w:hint="default"/>
          <w:sz w:val="28"/>
          <w:szCs w:val="36"/>
          <w:lang w:val="en-US" w:eastAsia="zh-CN"/>
        </w:rPr>
        <w:t>1、请严格按照上述规定完成申报并上报材料，逾期将作弃权处理。材料信息不全影响申报责任自负，材料信息不实取消评奖资格。</w:t>
      </w:r>
    </w:p>
    <w:p w14:paraId="16356E4D">
      <w:pPr>
        <w:rPr>
          <w:rFonts w:hint="default"/>
          <w:sz w:val="28"/>
          <w:szCs w:val="36"/>
          <w:lang w:val="en-US" w:eastAsia="zh-CN"/>
        </w:rPr>
      </w:pPr>
      <w:r>
        <w:rPr>
          <w:rFonts w:hint="default"/>
          <w:sz w:val="28"/>
          <w:szCs w:val="36"/>
          <w:lang w:val="en-US" w:eastAsia="zh-CN"/>
        </w:rPr>
        <w:t>2、申请理由/个人小结部分请同学认真填写，这是捐赠方审核的重要事项。</w:t>
      </w:r>
    </w:p>
    <w:p w14:paraId="2507995B">
      <w:pPr>
        <w:rPr>
          <w:rFonts w:hint="default"/>
          <w:sz w:val="28"/>
          <w:szCs w:val="36"/>
          <w:lang w:val="en-US" w:eastAsia="zh-CN"/>
        </w:rPr>
      </w:pPr>
      <w:r>
        <w:rPr>
          <w:rFonts w:hint="default"/>
          <w:sz w:val="28"/>
          <w:szCs w:val="36"/>
          <w:lang w:val="en-US" w:eastAsia="zh-CN"/>
        </w:rPr>
        <w:t>3、根据会计师事务所审计要求，获奖、受助学生必须附准确的电话号码以备核查，所以要求申报学生核对培养信息系统中的手机号，确保准确无误。</w:t>
      </w:r>
    </w:p>
    <w:p w14:paraId="2715F553">
      <w:pPr>
        <w:rPr>
          <w:rFonts w:hint="default"/>
          <w:sz w:val="28"/>
          <w:szCs w:val="36"/>
          <w:lang w:val="en-US" w:eastAsia="zh-CN"/>
        </w:rPr>
      </w:pPr>
      <w:r>
        <w:rPr>
          <w:rFonts w:hint="default"/>
          <w:sz w:val="28"/>
          <w:szCs w:val="36"/>
          <w:lang w:val="en-US" w:eastAsia="zh-CN"/>
        </w:rPr>
        <w:t>4、申请表格请按要求规范填写，原表格形式、内容不予改动。</w:t>
      </w:r>
    </w:p>
    <w:p w14:paraId="772FC0E1">
      <w:pPr>
        <w:rPr>
          <w:rFonts w:hint="eastAsia"/>
          <w:sz w:val="28"/>
          <w:szCs w:val="36"/>
          <w:lang w:val="en-US" w:eastAsia="zh-CN"/>
        </w:rPr>
      </w:pPr>
      <w:r>
        <w:rPr>
          <w:rFonts w:hint="default"/>
          <w:sz w:val="28"/>
          <w:szCs w:val="36"/>
          <w:lang w:val="en-US" w:eastAsia="zh-CN"/>
        </w:rPr>
        <w:t>5、全部材料要求完整真实，以备核查</w:t>
      </w:r>
      <w:r>
        <w:rPr>
          <w:rFonts w:hint="eastAsia"/>
          <w:sz w:val="28"/>
          <w:szCs w:val="36"/>
          <w:lang w:val="en-US" w:eastAsia="zh-CN"/>
        </w:rPr>
        <w:t>。</w:t>
      </w:r>
    </w:p>
    <w:p w14:paraId="03F30C69">
      <w:pPr>
        <w:rPr>
          <w:rFonts w:hint="default"/>
          <w:sz w:val="28"/>
          <w:szCs w:val="36"/>
          <w:lang w:val="en-US" w:eastAsia="zh-CN"/>
        </w:rPr>
      </w:pPr>
    </w:p>
    <w:p w14:paraId="1488228D">
      <w:pPr>
        <w:numPr>
          <w:ilvl w:val="0"/>
          <w:numId w:val="1"/>
        </w:numPr>
        <w:rPr>
          <w:rFonts w:hint="eastAsia"/>
          <w:sz w:val="28"/>
          <w:szCs w:val="36"/>
          <w:lang w:val="en-US" w:eastAsia="zh-CN"/>
        </w:rPr>
      </w:pPr>
      <w:r>
        <w:rPr>
          <w:rFonts w:hint="eastAsia"/>
          <w:sz w:val="28"/>
          <w:szCs w:val="36"/>
          <w:lang w:val="en-US" w:eastAsia="zh-CN"/>
        </w:rPr>
        <w:t>名额分配及金额</w:t>
      </w:r>
    </w:p>
    <w:p w14:paraId="335F81FB">
      <w:pPr>
        <w:numPr>
          <w:ilvl w:val="0"/>
          <w:numId w:val="0"/>
        </w:numPr>
        <w:rPr>
          <w:rFonts w:hint="eastAsia"/>
          <w:b/>
          <w:bCs/>
          <w:sz w:val="28"/>
          <w:szCs w:val="36"/>
          <w:lang w:val="en-US" w:eastAsia="zh-CN"/>
        </w:rPr>
      </w:pPr>
      <w:r>
        <w:rPr>
          <w:rFonts w:hint="default"/>
          <w:b/>
          <w:bCs/>
          <w:sz w:val="28"/>
          <w:szCs w:val="36"/>
          <w:lang w:val="en-US" w:eastAsia="zh-CN"/>
        </w:rPr>
        <w:t>ABclonal奖学金</w:t>
      </w:r>
      <w:r>
        <w:rPr>
          <w:rFonts w:hint="eastAsia"/>
          <w:b/>
          <w:bCs/>
          <w:sz w:val="28"/>
          <w:szCs w:val="36"/>
          <w:lang w:val="en-US" w:eastAsia="zh-CN"/>
        </w:rPr>
        <w:t>：</w:t>
      </w:r>
    </w:p>
    <w:p w14:paraId="688EB8D1">
      <w:pPr>
        <w:numPr>
          <w:ilvl w:val="0"/>
          <w:numId w:val="0"/>
        </w:numPr>
        <w:rPr>
          <w:rFonts w:hint="default"/>
          <w:sz w:val="28"/>
          <w:szCs w:val="36"/>
          <w:lang w:val="en-US" w:eastAsia="zh-CN"/>
        </w:rPr>
      </w:pPr>
      <w:r>
        <w:rPr>
          <w:rFonts w:hint="default"/>
          <w:sz w:val="28"/>
          <w:szCs w:val="36"/>
          <w:lang w:val="en-US" w:eastAsia="zh-CN"/>
        </w:rPr>
        <w:t>一等奖8000元/名；二等奖5000元/名；三等奖2000元/名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7D5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F63DDB1">
            <w:pPr>
              <w:numPr>
                <w:ilvl w:val="0"/>
                <w:numId w:val="0"/>
              </w:numPr>
              <w:jc w:val="center"/>
              <w:rPr>
                <w:rFonts w:hint="default"/>
                <w:sz w:val="28"/>
                <w:szCs w:val="36"/>
                <w:vertAlign w:val="baseline"/>
                <w:lang w:val="en-US" w:eastAsia="zh-CN"/>
              </w:rPr>
            </w:pPr>
          </w:p>
        </w:tc>
        <w:tc>
          <w:tcPr>
            <w:tcW w:w="2130" w:type="dxa"/>
          </w:tcPr>
          <w:p w14:paraId="6501C94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一等</w:t>
            </w:r>
          </w:p>
        </w:tc>
        <w:tc>
          <w:tcPr>
            <w:tcW w:w="2131" w:type="dxa"/>
          </w:tcPr>
          <w:p w14:paraId="6FA2BD4B">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二等</w:t>
            </w:r>
          </w:p>
        </w:tc>
        <w:tc>
          <w:tcPr>
            <w:tcW w:w="2131" w:type="dxa"/>
          </w:tcPr>
          <w:p w14:paraId="2C83E2C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三等</w:t>
            </w:r>
          </w:p>
        </w:tc>
      </w:tr>
      <w:tr w14:paraId="041E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0" w:type="dxa"/>
          </w:tcPr>
          <w:p w14:paraId="73C3DF3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硕士</w:t>
            </w:r>
          </w:p>
        </w:tc>
        <w:tc>
          <w:tcPr>
            <w:tcW w:w="2130" w:type="dxa"/>
          </w:tcPr>
          <w:p w14:paraId="687B7663">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2131" w:type="dxa"/>
          </w:tcPr>
          <w:p w14:paraId="41BEFCEC">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1</w:t>
            </w:r>
          </w:p>
        </w:tc>
        <w:tc>
          <w:tcPr>
            <w:tcW w:w="2131" w:type="dxa"/>
          </w:tcPr>
          <w:p w14:paraId="5CC1C17C">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3</w:t>
            </w:r>
          </w:p>
        </w:tc>
      </w:tr>
      <w:tr w14:paraId="36FA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0B8DC0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博士</w:t>
            </w:r>
          </w:p>
        </w:tc>
        <w:tc>
          <w:tcPr>
            <w:tcW w:w="2130" w:type="dxa"/>
          </w:tcPr>
          <w:p w14:paraId="720AA143">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1</w:t>
            </w:r>
          </w:p>
        </w:tc>
        <w:tc>
          <w:tcPr>
            <w:tcW w:w="2131" w:type="dxa"/>
          </w:tcPr>
          <w:p w14:paraId="26492FBC">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1</w:t>
            </w:r>
          </w:p>
        </w:tc>
        <w:tc>
          <w:tcPr>
            <w:tcW w:w="2131" w:type="dxa"/>
          </w:tcPr>
          <w:p w14:paraId="2B79A3FB">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2</w:t>
            </w:r>
          </w:p>
        </w:tc>
      </w:tr>
    </w:tbl>
    <w:p w14:paraId="3FBA4E43">
      <w:pPr>
        <w:numPr>
          <w:ilvl w:val="0"/>
          <w:numId w:val="0"/>
        </w:numPr>
        <w:jc w:val="right"/>
        <w:rPr>
          <w:rFonts w:hint="eastAsia"/>
          <w:sz w:val="24"/>
          <w:szCs w:val="32"/>
          <w:lang w:val="en-US" w:eastAsia="zh-CN"/>
        </w:rPr>
      </w:pPr>
    </w:p>
    <w:p w14:paraId="2E2375E8">
      <w:pPr>
        <w:numPr>
          <w:ilvl w:val="0"/>
          <w:numId w:val="0"/>
        </w:numPr>
        <w:jc w:val="left"/>
        <w:rPr>
          <w:rFonts w:hint="eastAsia"/>
          <w:b w:val="0"/>
          <w:bCs w:val="0"/>
          <w:sz w:val="28"/>
          <w:szCs w:val="36"/>
          <w:lang w:val="en-US" w:eastAsia="zh-CN"/>
        </w:rPr>
      </w:pPr>
      <w:r>
        <w:rPr>
          <w:rFonts w:hint="eastAsia"/>
          <w:b w:val="0"/>
          <w:bCs w:val="0"/>
          <w:sz w:val="28"/>
          <w:szCs w:val="36"/>
          <w:lang w:val="en-US" w:eastAsia="zh-CN"/>
        </w:rPr>
        <w:t>除符合基本申请条件外，根据奖学金设置方要求，申请ABclonal奖学金还需要符合以下条件：</w:t>
      </w:r>
    </w:p>
    <w:p w14:paraId="01009397">
      <w:pPr>
        <w:numPr>
          <w:ilvl w:val="0"/>
          <w:numId w:val="2"/>
        </w:numPr>
        <w:jc w:val="left"/>
        <w:rPr>
          <w:rFonts w:hint="default"/>
          <w:b w:val="0"/>
          <w:bCs w:val="0"/>
          <w:sz w:val="28"/>
          <w:szCs w:val="36"/>
          <w:lang w:val="en-US" w:eastAsia="zh-CN"/>
        </w:rPr>
      </w:pPr>
      <w:r>
        <w:rPr>
          <w:rFonts w:hint="default"/>
          <w:b w:val="0"/>
          <w:bCs w:val="0"/>
          <w:sz w:val="28"/>
          <w:szCs w:val="36"/>
          <w:lang w:val="en-US" w:eastAsia="zh-CN"/>
        </w:rPr>
        <w:t>同等条件下，家庭经济困难的学生优先。</w:t>
      </w:r>
    </w:p>
    <w:p w14:paraId="1F284C63">
      <w:pPr>
        <w:numPr>
          <w:ilvl w:val="0"/>
          <w:numId w:val="0"/>
        </w:numPr>
        <w:jc w:val="left"/>
        <w:rPr>
          <w:rFonts w:hint="default"/>
          <w:sz w:val="28"/>
          <w:szCs w:val="36"/>
          <w:lang w:val="en-US" w:eastAsia="zh-CN"/>
        </w:rPr>
      </w:pPr>
      <w:r>
        <w:rPr>
          <w:rFonts w:hint="eastAsia"/>
          <w:b/>
          <w:bCs/>
          <w:sz w:val="28"/>
          <w:szCs w:val="36"/>
          <w:lang w:val="en-US" w:eastAsia="zh-CN"/>
        </w:rPr>
        <w:t>郑格如奖学金</w:t>
      </w:r>
      <w:r>
        <w:rPr>
          <w:rFonts w:hint="eastAsia"/>
          <w:sz w:val="28"/>
          <w:szCs w:val="36"/>
          <w:lang w:val="en-US"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4EF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47AFAD5">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一等硕士</w:t>
            </w:r>
          </w:p>
        </w:tc>
        <w:tc>
          <w:tcPr>
            <w:tcW w:w="2841" w:type="dxa"/>
            <w:vAlign w:val="top"/>
          </w:tcPr>
          <w:p w14:paraId="16A3B449">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10000元/人</w:t>
            </w:r>
          </w:p>
        </w:tc>
        <w:tc>
          <w:tcPr>
            <w:tcW w:w="2841" w:type="dxa"/>
            <w:vAlign w:val="top"/>
          </w:tcPr>
          <w:p w14:paraId="183665FE">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1名</w:t>
            </w:r>
          </w:p>
        </w:tc>
      </w:tr>
    </w:tbl>
    <w:p w14:paraId="3705EB8C">
      <w:pPr>
        <w:numPr>
          <w:ilvl w:val="0"/>
          <w:numId w:val="0"/>
        </w:numPr>
        <w:jc w:val="right"/>
        <w:rPr>
          <w:rFonts w:hint="eastAsia"/>
          <w:sz w:val="24"/>
          <w:szCs w:val="32"/>
          <w:lang w:val="en-US" w:eastAsia="zh-CN"/>
        </w:rPr>
      </w:pPr>
    </w:p>
    <w:p w14:paraId="36AC51E3">
      <w:pPr>
        <w:numPr>
          <w:ilvl w:val="0"/>
          <w:numId w:val="0"/>
        </w:numPr>
        <w:jc w:val="left"/>
        <w:rPr>
          <w:rFonts w:hint="eastAsia"/>
          <w:b w:val="0"/>
          <w:bCs w:val="0"/>
          <w:sz w:val="28"/>
          <w:szCs w:val="36"/>
          <w:lang w:val="en-US" w:eastAsia="zh-CN"/>
        </w:rPr>
      </w:pPr>
      <w:r>
        <w:rPr>
          <w:rFonts w:hint="eastAsia"/>
          <w:b w:val="0"/>
          <w:bCs w:val="0"/>
          <w:sz w:val="28"/>
          <w:szCs w:val="36"/>
          <w:lang w:val="en-US" w:eastAsia="zh-CN"/>
        </w:rPr>
        <w:t>除符合基本申请条件外，根据奖学金设置方要求，郑格如奖学金一等奖还需要符合以下条件：</w:t>
      </w:r>
    </w:p>
    <w:p w14:paraId="22F40844">
      <w:pPr>
        <w:numPr>
          <w:ilvl w:val="0"/>
          <w:numId w:val="0"/>
        </w:numPr>
        <w:jc w:val="left"/>
        <w:rPr>
          <w:rFonts w:hint="eastAsia"/>
          <w:b w:val="0"/>
          <w:bCs w:val="0"/>
          <w:sz w:val="28"/>
          <w:szCs w:val="36"/>
          <w:lang w:val="en-US" w:eastAsia="zh-CN"/>
        </w:rPr>
      </w:pPr>
      <w:r>
        <w:rPr>
          <w:rFonts w:hint="eastAsia"/>
          <w:b w:val="0"/>
          <w:bCs w:val="0"/>
          <w:sz w:val="28"/>
          <w:szCs w:val="36"/>
          <w:lang w:val="en-US" w:eastAsia="zh-CN"/>
        </w:rPr>
        <w:t>1、德智体全面发展、品学兼优。</w:t>
      </w:r>
    </w:p>
    <w:p w14:paraId="2BEDC230">
      <w:pPr>
        <w:numPr>
          <w:ilvl w:val="0"/>
          <w:numId w:val="0"/>
        </w:numPr>
        <w:jc w:val="right"/>
        <w:rPr>
          <w:rFonts w:hint="eastAsia"/>
          <w:sz w:val="24"/>
          <w:szCs w:val="32"/>
          <w:lang w:val="en-US" w:eastAsia="zh-CN"/>
        </w:rPr>
      </w:pPr>
      <w:r>
        <w:rPr>
          <w:rFonts w:hint="eastAsia"/>
          <w:sz w:val="24"/>
          <w:szCs w:val="32"/>
          <w:lang w:val="en-US" w:eastAsia="zh-CN"/>
        </w:rPr>
        <w:t xml:space="preserve">生科学办 </w:t>
      </w:r>
    </w:p>
    <w:p w14:paraId="2281BBA5">
      <w:pPr>
        <w:numPr>
          <w:ilvl w:val="0"/>
          <w:numId w:val="0"/>
        </w:numPr>
        <w:jc w:val="right"/>
        <w:rPr>
          <w:rFonts w:hint="default"/>
          <w:sz w:val="24"/>
          <w:szCs w:val="32"/>
          <w:lang w:val="en-US" w:eastAsia="zh-CN"/>
        </w:rPr>
      </w:pPr>
      <w:r>
        <w:rPr>
          <w:rFonts w:hint="eastAsia"/>
          <w:sz w:val="24"/>
          <w:szCs w:val="32"/>
          <w:lang w:val="en-US" w:eastAsia="zh-CN"/>
        </w:rPr>
        <w:t>2024.11.11</w:t>
      </w:r>
    </w:p>
    <w:p w14:paraId="0F82B7C5">
      <w:pPr>
        <w:numPr>
          <w:ilvl w:val="0"/>
          <w:numId w:val="0"/>
        </w:numPr>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AD6DC"/>
    <w:multiLevelType w:val="singleLevel"/>
    <w:tmpl w:val="975AD6DC"/>
    <w:lvl w:ilvl="0" w:tentative="0">
      <w:start w:val="1"/>
      <w:numFmt w:val="decimal"/>
      <w:suff w:val="nothing"/>
      <w:lvlText w:val="%1、"/>
      <w:lvlJc w:val="left"/>
    </w:lvl>
  </w:abstractNum>
  <w:abstractNum w:abstractNumId="1">
    <w:nsid w:val="DBEB5AB8"/>
    <w:multiLevelType w:val="singleLevel"/>
    <w:tmpl w:val="DBEB5AB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ZWI1NjlmMjRmODEwODUwZGEzODJkYWNmYjhjZmQifQ=="/>
  </w:docVars>
  <w:rsids>
    <w:rsidRoot w:val="00000000"/>
    <w:rsid w:val="00CC0C7E"/>
    <w:rsid w:val="0344615C"/>
    <w:rsid w:val="04CF7204"/>
    <w:rsid w:val="05427CE0"/>
    <w:rsid w:val="069B0ABE"/>
    <w:rsid w:val="09276A74"/>
    <w:rsid w:val="0A722687"/>
    <w:rsid w:val="0BCA3494"/>
    <w:rsid w:val="0CC31C91"/>
    <w:rsid w:val="0D991370"/>
    <w:rsid w:val="0F2729AB"/>
    <w:rsid w:val="12932873"/>
    <w:rsid w:val="17A91B8A"/>
    <w:rsid w:val="19706334"/>
    <w:rsid w:val="198214E3"/>
    <w:rsid w:val="1ACD6B84"/>
    <w:rsid w:val="1B5C1C2F"/>
    <w:rsid w:val="1DB52A13"/>
    <w:rsid w:val="1FC57DA2"/>
    <w:rsid w:val="21237C75"/>
    <w:rsid w:val="214819D4"/>
    <w:rsid w:val="233730B8"/>
    <w:rsid w:val="25CC1B2E"/>
    <w:rsid w:val="27931731"/>
    <w:rsid w:val="29416F41"/>
    <w:rsid w:val="2A9F7581"/>
    <w:rsid w:val="2E5A0625"/>
    <w:rsid w:val="33952E06"/>
    <w:rsid w:val="34AF59D3"/>
    <w:rsid w:val="36C46E46"/>
    <w:rsid w:val="36FB37F0"/>
    <w:rsid w:val="3A574488"/>
    <w:rsid w:val="3C561299"/>
    <w:rsid w:val="40952B78"/>
    <w:rsid w:val="42500D5E"/>
    <w:rsid w:val="45943738"/>
    <w:rsid w:val="493B47A6"/>
    <w:rsid w:val="4C4635FC"/>
    <w:rsid w:val="4DE271C6"/>
    <w:rsid w:val="4F463134"/>
    <w:rsid w:val="52385674"/>
    <w:rsid w:val="572F52F0"/>
    <w:rsid w:val="5B24540C"/>
    <w:rsid w:val="5D061443"/>
    <w:rsid w:val="5D3A554E"/>
    <w:rsid w:val="5D521DF5"/>
    <w:rsid w:val="5E972B0F"/>
    <w:rsid w:val="600E1B3B"/>
    <w:rsid w:val="61D4389A"/>
    <w:rsid w:val="634345DF"/>
    <w:rsid w:val="64151F48"/>
    <w:rsid w:val="6BB43DF4"/>
    <w:rsid w:val="6E3C0C27"/>
    <w:rsid w:val="6E443B55"/>
    <w:rsid w:val="718F3339"/>
    <w:rsid w:val="725325B9"/>
    <w:rsid w:val="765E1A1D"/>
    <w:rsid w:val="78160686"/>
    <w:rsid w:val="78A81ACF"/>
    <w:rsid w:val="7BCA1102"/>
    <w:rsid w:val="7D436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1098</Words>
  <Characters>1196</Characters>
  <Lines>0</Lines>
  <Paragraphs>0</Paragraphs>
  <TotalTime>0</TotalTime>
  <ScaleCrop>false</ScaleCrop>
  <LinksUpToDate>false</LinksUpToDate>
  <CharactersWithSpaces>1197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2023-10-17T10:35:00Z</dcterms:created>
  <dc:creator>14379</dc:creator>
  <cp:lastModifiedBy>memories。</cp:lastModifiedBy>
  <dcterms:modified xsi:type="dcterms:W3CDTF">2024-11-11T08:46:43Z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34ECEBAEF7254141AD1E7B5B20FBFDC2_12</vt:lpwstr>
  </property>
</Properties>
</file>